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84" w:rsidRDefault="00A74884" w:rsidP="00A04824">
      <w:pPr>
        <w:adjustRightInd w:val="0"/>
        <w:ind w:firstLine="709"/>
        <w:jc w:val="center"/>
        <w:outlineLvl w:val="0"/>
        <w:rPr>
          <w:szCs w:val="20"/>
        </w:rPr>
      </w:pPr>
      <w:r w:rsidRPr="00A74884">
        <w:rPr>
          <w:szCs w:val="20"/>
        </w:rPr>
        <w:t>П</w:t>
      </w:r>
      <w:r>
        <w:rPr>
          <w:szCs w:val="20"/>
        </w:rPr>
        <w:t>ереч</w:t>
      </w:r>
      <w:r w:rsidRPr="00A74884">
        <w:rPr>
          <w:szCs w:val="20"/>
        </w:rPr>
        <w:t>е</w:t>
      </w:r>
      <w:r>
        <w:rPr>
          <w:szCs w:val="20"/>
        </w:rPr>
        <w:t>нь</w:t>
      </w:r>
      <w:r w:rsidRPr="00A74884">
        <w:rPr>
          <w:szCs w:val="20"/>
        </w:rPr>
        <w:t xml:space="preserve"> нормативных правовых актов, содержащих обязательные требования,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на территории Нижневартовского района</w:t>
      </w:r>
    </w:p>
    <w:p w:rsidR="005D2E32" w:rsidRDefault="005D2E32" w:rsidP="005D2E32">
      <w:pPr>
        <w:ind w:firstLine="709"/>
        <w:jc w:val="both"/>
      </w:pPr>
    </w:p>
    <w:p w:rsidR="005D2E32" w:rsidRPr="00051990" w:rsidRDefault="005D2E32" w:rsidP="005D2E32">
      <w:pPr>
        <w:ind w:firstLine="709"/>
        <w:jc w:val="both"/>
      </w:pPr>
      <w:r>
        <w:t>Контролируемы лица</w:t>
      </w:r>
      <w:r w:rsidRPr="00051990">
        <w:t xml:space="preserve">, допустившие нарушение </w:t>
      </w:r>
      <w:r>
        <w:t>обязательных</w:t>
      </w:r>
      <w:r w:rsidRPr="005D2E32">
        <w:t xml:space="preserve"> требовани</w:t>
      </w:r>
      <w:r>
        <w:t>й</w:t>
      </w:r>
      <w:r w:rsidRPr="005D2E32">
        <w:t>, оценка соблюдения которых является предметом муниципального контроля</w:t>
      </w:r>
      <w:r w:rsidRPr="00051990">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w:t>
      </w:r>
      <w:r>
        <w:t xml:space="preserve">рушений обязательных </w:t>
      </w:r>
      <w:r w:rsidRPr="002C183B">
        <w:t>требований, несут</w:t>
      </w:r>
      <w:r w:rsidRPr="00051990">
        <w:t xml:space="preserve"> ответственность в соответствии с законодательством Российской Федерации. Несоблюдение вышеуказанных требований образует составы административного правонарушения</w:t>
      </w:r>
      <w:r>
        <w:t>,</w:t>
      </w:r>
      <w:r w:rsidRPr="00051990">
        <w:t xml:space="preserve"> предусмотренные гл</w:t>
      </w:r>
      <w:r>
        <w:t>авой 19 Кодекса Российской Федерации об административных правонарушениях</w:t>
      </w:r>
      <w:r w:rsidRPr="00051990">
        <w:t>, а именно:</w:t>
      </w:r>
    </w:p>
    <w:p w:rsidR="005D2E32" w:rsidRPr="00051990" w:rsidRDefault="005D2E32" w:rsidP="005D2E32">
      <w:pPr>
        <w:ind w:firstLine="709"/>
        <w:jc w:val="both"/>
      </w:pPr>
      <w:r w:rsidRPr="00051990">
        <w:t>статья 19.4. Неповиновение законному распоряжению должностного лица органа, осуществляющего муниципальный контроль;</w:t>
      </w:r>
    </w:p>
    <w:p w:rsidR="005D2E32" w:rsidRPr="00051990" w:rsidRDefault="005D2E32" w:rsidP="005D2E32">
      <w:pPr>
        <w:ind w:firstLine="709"/>
        <w:jc w:val="both"/>
      </w:pPr>
      <w:r w:rsidRPr="00051990">
        <w:t>статья 19.4.1. Воспрепятствование законной деятельности должностного лица органа муниципального контроля;</w:t>
      </w:r>
    </w:p>
    <w:p w:rsidR="005D2E32" w:rsidRPr="00051990" w:rsidRDefault="005D2E32" w:rsidP="005D2E32">
      <w:pPr>
        <w:ind w:firstLine="709"/>
        <w:jc w:val="both"/>
      </w:pPr>
      <w:r w:rsidRPr="00051990">
        <w:t>статья 19.5. Невыполнение в срок законного предписания (постановления, представления, решения) органа (должностного лица), осуществляющего муниципальный контроль;</w:t>
      </w:r>
    </w:p>
    <w:p w:rsidR="005D2E32" w:rsidRPr="00051990" w:rsidRDefault="005D2E32" w:rsidP="005D2E32">
      <w:pPr>
        <w:ind w:firstLine="709"/>
        <w:jc w:val="both"/>
      </w:pPr>
      <w:r w:rsidRPr="00051990">
        <w:t>статья 19.7. Непредставление св</w:t>
      </w:r>
      <w:bookmarkStart w:id="0" w:name="_GoBack"/>
      <w:bookmarkEnd w:id="0"/>
      <w:r w:rsidRPr="00051990">
        <w:t>едений (информации).</w:t>
      </w:r>
    </w:p>
    <w:p w:rsidR="005D2E32" w:rsidRDefault="005D2E32" w:rsidP="00A04824">
      <w:pPr>
        <w:adjustRightInd w:val="0"/>
        <w:ind w:firstLine="709"/>
        <w:jc w:val="center"/>
        <w:outlineLvl w:val="0"/>
        <w:rPr>
          <w:szCs w:val="20"/>
        </w:rPr>
      </w:pPr>
    </w:p>
    <w:p w:rsidR="008E4DF2" w:rsidRDefault="008E4DF2" w:rsidP="00EE1FB4">
      <w:pPr>
        <w:adjustRightInd w:val="0"/>
        <w:ind w:firstLine="709"/>
        <w:jc w:val="both"/>
        <w:outlineLvl w:val="0"/>
        <w:rPr>
          <w:szCs w:val="20"/>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895"/>
        <w:gridCol w:w="4819"/>
      </w:tblGrid>
      <w:tr w:rsidR="005D2E32" w:rsidRPr="00270DDB" w:rsidTr="005D2E32">
        <w:tc>
          <w:tcPr>
            <w:tcW w:w="4895" w:type="dxa"/>
            <w:tcBorders>
              <w:top w:val="single" w:sz="4" w:space="0" w:color="auto"/>
              <w:left w:val="single" w:sz="4" w:space="0" w:color="auto"/>
              <w:bottom w:val="single" w:sz="4" w:space="0" w:color="auto"/>
              <w:right w:val="single" w:sz="4" w:space="0" w:color="auto"/>
            </w:tcBorders>
          </w:tcPr>
          <w:p w:rsidR="005D2E32" w:rsidRPr="00270DDB" w:rsidRDefault="005D2E32" w:rsidP="00FD618A">
            <w:pPr>
              <w:adjustRightInd w:val="0"/>
              <w:ind w:firstLine="300"/>
              <w:jc w:val="center"/>
              <w:outlineLvl w:val="0"/>
              <w:rPr>
                <w:b/>
                <w:sz w:val="24"/>
                <w:szCs w:val="24"/>
              </w:rPr>
            </w:pPr>
            <w:r w:rsidRPr="00270DDB">
              <w:rPr>
                <w:b/>
                <w:sz w:val="24"/>
                <w:szCs w:val="24"/>
              </w:rPr>
              <w:t>Содержание обязательных требований</w:t>
            </w:r>
          </w:p>
        </w:tc>
        <w:tc>
          <w:tcPr>
            <w:tcW w:w="4819" w:type="dxa"/>
            <w:tcBorders>
              <w:top w:val="single" w:sz="4" w:space="0" w:color="auto"/>
              <w:left w:val="single" w:sz="4" w:space="0" w:color="auto"/>
              <w:bottom w:val="single" w:sz="4" w:space="0" w:color="auto"/>
              <w:right w:val="single" w:sz="4" w:space="0" w:color="auto"/>
            </w:tcBorders>
          </w:tcPr>
          <w:p w:rsidR="005D2E32" w:rsidRPr="00270DDB" w:rsidRDefault="005D2E32" w:rsidP="00FD618A">
            <w:pPr>
              <w:adjustRightInd w:val="0"/>
              <w:ind w:firstLine="300"/>
              <w:jc w:val="center"/>
              <w:outlineLvl w:val="0"/>
              <w:rPr>
                <w:b/>
                <w:sz w:val="24"/>
                <w:szCs w:val="24"/>
              </w:rPr>
            </w:pPr>
            <w:r w:rsidRPr="00270DDB">
              <w:rPr>
                <w:b/>
                <w:sz w:val="24"/>
                <w:szCs w:val="24"/>
              </w:rPr>
              <w:t>Реквизиты нормативного правового акта, (подзаконного правового акта), содержащего обязательные требования</w:t>
            </w:r>
            <w:r>
              <w:rPr>
                <w:b/>
                <w:sz w:val="24"/>
                <w:szCs w:val="24"/>
              </w:rPr>
              <w:t>,</w:t>
            </w:r>
            <w:r w:rsidRPr="00A74884">
              <w:t xml:space="preserve"> </w:t>
            </w:r>
            <w:r w:rsidRPr="00A74884">
              <w:rPr>
                <w:b/>
                <w:sz w:val="24"/>
                <w:szCs w:val="24"/>
              </w:rPr>
              <w:t>с указанием структурных единиц</w:t>
            </w:r>
          </w:p>
        </w:tc>
      </w:tr>
      <w:tr w:rsidR="005D2E32" w:rsidRPr="00270DDB" w:rsidTr="005D2E32">
        <w:tc>
          <w:tcPr>
            <w:tcW w:w="4895" w:type="dxa"/>
            <w:tcBorders>
              <w:top w:val="single" w:sz="4" w:space="0" w:color="auto"/>
              <w:left w:val="single" w:sz="4" w:space="0" w:color="auto"/>
              <w:bottom w:val="single" w:sz="4" w:space="0" w:color="auto"/>
              <w:right w:val="single" w:sz="4" w:space="0" w:color="auto"/>
            </w:tcBorders>
          </w:tcPr>
          <w:p w:rsidR="005D2E32" w:rsidRPr="00270DDB" w:rsidRDefault="005D2E32" w:rsidP="00FD618A">
            <w:pPr>
              <w:adjustRightInd w:val="0"/>
              <w:ind w:firstLine="300"/>
              <w:jc w:val="both"/>
              <w:outlineLvl w:val="0"/>
              <w:rPr>
                <w:sz w:val="24"/>
                <w:szCs w:val="24"/>
              </w:rPr>
            </w:pPr>
            <w:r w:rsidRPr="00270DDB">
              <w:rPr>
                <w:sz w:val="24"/>
                <w:szCs w:val="24"/>
              </w:rPr>
              <w:t>Осуществление работ по капитальному ремонту автомобильных дорог в соответствии с Градостроительным кодексом Российской Федерации,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5D2E32" w:rsidRPr="00270DDB" w:rsidRDefault="005D2E32" w:rsidP="00FD618A">
            <w:pPr>
              <w:adjustRightInd w:val="0"/>
              <w:ind w:firstLine="300"/>
              <w:jc w:val="both"/>
              <w:outlineLvl w:val="0"/>
              <w:rPr>
                <w:sz w:val="24"/>
                <w:szCs w:val="24"/>
              </w:rPr>
            </w:pPr>
            <w:r w:rsidRPr="00270DDB">
              <w:rPr>
                <w:sz w:val="24"/>
                <w:szCs w:val="24"/>
              </w:rPr>
              <w:t>часть 1 статьи 16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2E32" w:rsidRPr="00270DDB" w:rsidRDefault="005D2E32" w:rsidP="00FD618A">
            <w:pPr>
              <w:adjustRightInd w:val="0"/>
              <w:ind w:firstLine="300"/>
              <w:jc w:val="both"/>
              <w:outlineLvl w:val="0"/>
              <w:rPr>
                <w:b/>
                <w:sz w:val="24"/>
                <w:szCs w:val="24"/>
              </w:rPr>
            </w:pPr>
          </w:p>
        </w:tc>
      </w:tr>
      <w:tr w:rsidR="005D2E32" w:rsidRPr="00270DDB" w:rsidTr="005D2E32">
        <w:tc>
          <w:tcPr>
            <w:tcW w:w="4895" w:type="dxa"/>
            <w:tcBorders>
              <w:top w:val="single" w:sz="4" w:space="0" w:color="auto"/>
              <w:left w:val="single" w:sz="4" w:space="0" w:color="auto"/>
              <w:bottom w:val="single" w:sz="4" w:space="0" w:color="auto"/>
              <w:right w:val="single" w:sz="4" w:space="0" w:color="auto"/>
            </w:tcBorders>
          </w:tcPr>
          <w:p w:rsidR="005D2E32" w:rsidRPr="00270DDB" w:rsidRDefault="005D2E32" w:rsidP="00FD618A">
            <w:pPr>
              <w:adjustRightInd w:val="0"/>
              <w:ind w:firstLine="300"/>
              <w:jc w:val="both"/>
              <w:outlineLvl w:val="0"/>
              <w:rPr>
                <w:sz w:val="24"/>
                <w:szCs w:val="24"/>
              </w:rPr>
            </w:pPr>
            <w:r w:rsidRPr="00270DDB">
              <w:rPr>
                <w:sz w:val="24"/>
                <w:szCs w:val="24"/>
              </w:rPr>
              <w:t xml:space="preserve">Соблюдение классификации работ по капитальному ремонту автомобильных дорог, </w:t>
            </w:r>
            <w:r w:rsidRPr="00270DDB">
              <w:rPr>
                <w:sz w:val="24"/>
                <w:szCs w:val="24"/>
              </w:rPr>
              <w:lastRenderedPageBreak/>
              <w:t>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w:t>
            </w:r>
          </w:p>
        </w:tc>
        <w:tc>
          <w:tcPr>
            <w:tcW w:w="4819" w:type="dxa"/>
            <w:tcBorders>
              <w:top w:val="single" w:sz="4" w:space="0" w:color="auto"/>
              <w:left w:val="single" w:sz="4" w:space="0" w:color="auto"/>
              <w:bottom w:val="single" w:sz="4" w:space="0" w:color="auto"/>
              <w:right w:val="single" w:sz="4" w:space="0" w:color="auto"/>
            </w:tcBorders>
          </w:tcPr>
          <w:p w:rsidR="005D2E32" w:rsidRPr="00270DDB" w:rsidRDefault="005D2E32" w:rsidP="00FD618A">
            <w:pPr>
              <w:adjustRightInd w:val="0"/>
              <w:ind w:firstLine="300"/>
              <w:jc w:val="both"/>
              <w:outlineLvl w:val="0"/>
              <w:rPr>
                <w:sz w:val="24"/>
                <w:szCs w:val="24"/>
              </w:rPr>
            </w:pPr>
            <w:r w:rsidRPr="00270DDB">
              <w:rPr>
                <w:sz w:val="24"/>
                <w:szCs w:val="24"/>
              </w:rPr>
              <w:lastRenderedPageBreak/>
              <w:t xml:space="preserve">часть 4 статьи 16 Федерального закона от 8 ноября 2007 года № 257-ФЗ «Об </w:t>
            </w:r>
            <w:r w:rsidRPr="00270DDB">
              <w:rPr>
                <w:sz w:val="24"/>
                <w:szCs w:val="24"/>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2E32" w:rsidRPr="00270DDB" w:rsidRDefault="005D2E32" w:rsidP="00FD618A">
            <w:pPr>
              <w:adjustRightInd w:val="0"/>
              <w:ind w:firstLine="300"/>
              <w:jc w:val="both"/>
              <w:outlineLvl w:val="0"/>
              <w:rPr>
                <w:b/>
                <w:sz w:val="24"/>
                <w:szCs w:val="24"/>
              </w:rPr>
            </w:pPr>
            <w:r w:rsidRPr="00270DDB">
              <w:rPr>
                <w:sz w:val="24"/>
                <w:szCs w:val="24"/>
              </w:rPr>
              <w:t>раздел 2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r>
      <w:tr w:rsidR="005D2E32" w:rsidRPr="00270DDB" w:rsidTr="005D2E32">
        <w:tc>
          <w:tcPr>
            <w:tcW w:w="4895"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lastRenderedPageBreak/>
              <w:t xml:space="preserve">Осуществление ремонта автомобильных дорог в соответствии с требованиями технических </w:t>
            </w:r>
            <w:hyperlink r:id="rId8" w:history="1">
              <w:r w:rsidRPr="00270DDB">
                <w:rPr>
                  <w:sz w:val="24"/>
                  <w:szCs w:val="24"/>
                </w:rPr>
                <w:t>регламентов</w:t>
              </w:r>
            </w:hyperlink>
            <w:r w:rsidRPr="00270DDB">
              <w:rPr>
                <w:sz w:val="24"/>
                <w:szCs w:val="24"/>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w:t>
            </w:r>
          </w:p>
        </w:tc>
        <w:tc>
          <w:tcPr>
            <w:tcW w:w="4819"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часть 1 статьи 18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D2E32" w:rsidRPr="00270DDB" w:rsidTr="005D2E32">
        <w:tc>
          <w:tcPr>
            <w:tcW w:w="4895"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Соблюдение классификации работ по ремонту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c>
          <w:tcPr>
            <w:tcW w:w="4819"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часть 3 статьи 18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2E32" w:rsidRPr="00270DDB" w:rsidRDefault="005D2E32" w:rsidP="00277D3F">
            <w:pPr>
              <w:adjustRightInd w:val="0"/>
              <w:ind w:firstLine="300"/>
              <w:jc w:val="both"/>
              <w:outlineLvl w:val="0"/>
              <w:rPr>
                <w:sz w:val="24"/>
                <w:szCs w:val="24"/>
              </w:rPr>
            </w:pPr>
            <w:r w:rsidRPr="00270DDB">
              <w:rPr>
                <w:sz w:val="24"/>
                <w:szCs w:val="24"/>
              </w:rPr>
              <w:t>раздел 3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r>
      <w:tr w:rsidR="005D2E32" w:rsidRPr="00270DDB" w:rsidTr="005D2E32">
        <w:tc>
          <w:tcPr>
            <w:tcW w:w="4895"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 xml:space="preserve">Осуществление содержание автомобильных дорог в соответствии с требованиями технических </w:t>
            </w:r>
            <w:hyperlink r:id="rId9" w:history="1">
              <w:r w:rsidRPr="00270DDB">
                <w:rPr>
                  <w:sz w:val="24"/>
                  <w:szCs w:val="24"/>
                </w:rPr>
                <w:t>регламентов</w:t>
              </w:r>
            </w:hyperlink>
            <w:r w:rsidRPr="00270DDB">
              <w:rPr>
                <w:sz w:val="24"/>
                <w:szCs w:val="24"/>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4819"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часть 1 статьи 17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2E32" w:rsidRPr="00270DDB" w:rsidRDefault="005D2E32" w:rsidP="00277D3F">
            <w:pPr>
              <w:adjustRightInd w:val="0"/>
              <w:ind w:firstLine="300"/>
              <w:jc w:val="both"/>
              <w:outlineLvl w:val="0"/>
              <w:rPr>
                <w:sz w:val="24"/>
                <w:szCs w:val="24"/>
              </w:rPr>
            </w:pPr>
          </w:p>
        </w:tc>
      </w:tr>
      <w:tr w:rsidR="005D2E32" w:rsidRPr="00270DDB" w:rsidTr="005D2E32">
        <w:tc>
          <w:tcPr>
            <w:tcW w:w="4895"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 xml:space="preserve">Соблюдение классификации работ по содержанию автомобильных дорог, </w:t>
            </w:r>
            <w:r w:rsidRPr="00270DDB">
              <w:rPr>
                <w:sz w:val="24"/>
                <w:szCs w:val="24"/>
              </w:rPr>
              <w:lastRenderedPageBreak/>
              <w:t>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c>
          <w:tcPr>
            <w:tcW w:w="4819"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lastRenderedPageBreak/>
              <w:t xml:space="preserve">часть 3 статьи 17 Федерального закона от 8 ноября 2007 года № 257-ФЗ «Об </w:t>
            </w:r>
            <w:r w:rsidRPr="00270DDB">
              <w:rPr>
                <w:sz w:val="24"/>
                <w:szCs w:val="24"/>
              </w:rP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D2E32" w:rsidRPr="00270DDB" w:rsidRDefault="005D2E32" w:rsidP="00277D3F">
            <w:pPr>
              <w:adjustRightInd w:val="0"/>
              <w:ind w:firstLine="300"/>
              <w:jc w:val="both"/>
              <w:outlineLvl w:val="0"/>
              <w:rPr>
                <w:sz w:val="24"/>
                <w:szCs w:val="24"/>
              </w:rPr>
            </w:pPr>
            <w:r w:rsidRPr="00270DDB">
              <w:rPr>
                <w:sz w:val="24"/>
                <w:szCs w:val="24"/>
              </w:rPr>
              <w:t>раздел 4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tc>
      </w:tr>
      <w:tr w:rsidR="005D2E32" w:rsidRPr="00270DDB" w:rsidTr="005D2E32">
        <w:tc>
          <w:tcPr>
            <w:tcW w:w="4895"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lastRenderedPageBreak/>
              <w:t xml:space="preserve">Проведение работ по прокладке, переносу или переустройству инженерных коммуникаций, их эксплуатации в </w:t>
            </w:r>
            <w:r w:rsidRPr="00A74884">
              <w:rPr>
                <w:b/>
                <w:sz w:val="24"/>
                <w:szCs w:val="24"/>
              </w:rPr>
              <w:t>границах полосы отвода автомобильной до</w:t>
            </w:r>
            <w:r w:rsidRPr="00270DDB">
              <w:rPr>
                <w:sz w:val="24"/>
                <w:szCs w:val="24"/>
              </w:rPr>
              <w:t>роги при наличии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 а также исполнение  владельцами таких инженерных коммуникаций при их прокладке, переносе, переустройстве, эксплуатации, технических требований и условий, предусмотренных договором с владельцем автомобильной дороги</w:t>
            </w:r>
          </w:p>
        </w:tc>
        <w:tc>
          <w:tcPr>
            <w:tcW w:w="4819"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часть 2 статьи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70DDB">
              <w:rPr>
                <w:sz w:val="24"/>
                <w:szCs w:val="24"/>
              </w:rPr>
              <w:br/>
            </w:r>
          </w:p>
        </w:tc>
      </w:tr>
      <w:tr w:rsidR="005D2E32" w:rsidRPr="00270DDB" w:rsidTr="005D2E32">
        <w:tc>
          <w:tcPr>
            <w:tcW w:w="4895"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Проведение работ по капитальному ремонту, ремонту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местного значения осуществляется при наличии согласия в письменной форме владельцев автомобильных дорог, а также исполнение лицами осуществляющими работы  технических требований и условий, содержащихся в согласии владельца автомобильной дороги</w:t>
            </w:r>
          </w:p>
        </w:tc>
        <w:tc>
          <w:tcPr>
            <w:tcW w:w="4819"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Части 4 и 5.1 статьи 20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70DDB">
              <w:rPr>
                <w:sz w:val="24"/>
                <w:szCs w:val="24"/>
              </w:rPr>
              <w:tab/>
              <w:t xml:space="preserve"> </w:t>
            </w:r>
          </w:p>
        </w:tc>
      </w:tr>
      <w:tr w:rsidR="005D2E32" w:rsidRPr="00270DDB" w:rsidTr="005D2E32">
        <w:tc>
          <w:tcPr>
            <w:tcW w:w="4895" w:type="dxa"/>
            <w:tcBorders>
              <w:top w:val="single" w:sz="4" w:space="0" w:color="auto"/>
              <w:left w:val="single" w:sz="4" w:space="0" w:color="auto"/>
              <w:bottom w:val="single" w:sz="4" w:space="0" w:color="auto"/>
              <w:right w:val="single" w:sz="4" w:space="0" w:color="auto"/>
            </w:tcBorders>
          </w:tcPr>
          <w:p w:rsidR="005D2E32" w:rsidRPr="00A04824" w:rsidRDefault="005D2E32" w:rsidP="00277D3F">
            <w:pPr>
              <w:adjustRightInd w:val="0"/>
              <w:ind w:firstLine="300"/>
              <w:jc w:val="both"/>
              <w:outlineLvl w:val="0"/>
              <w:rPr>
                <w:sz w:val="24"/>
                <w:szCs w:val="24"/>
              </w:rPr>
            </w:pPr>
            <w:r w:rsidRPr="00A04824">
              <w:rPr>
                <w:sz w:val="24"/>
                <w:szCs w:val="24"/>
              </w:rPr>
              <w:lastRenderedPageBreak/>
              <w:t>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4819" w:type="dxa"/>
            <w:tcBorders>
              <w:top w:val="single" w:sz="4" w:space="0" w:color="auto"/>
              <w:left w:val="single" w:sz="4" w:space="0" w:color="auto"/>
              <w:bottom w:val="single" w:sz="4" w:space="0" w:color="auto"/>
              <w:right w:val="single" w:sz="4" w:space="0" w:color="auto"/>
            </w:tcBorders>
          </w:tcPr>
          <w:p w:rsidR="005D2E32" w:rsidRPr="00A04824" w:rsidRDefault="005D2E32" w:rsidP="00277D3F">
            <w:pPr>
              <w:adjustRightInd w:val="0"/>
              <w:ind w:firstLine="300"/>
              <w:jc w:val="both"/>
              <w:outlineLvl w:val="0"/>
              <w:rPr>
                <w:sz w:val="24"/>
                <w:szCs w:val="24"/>
              </w:rPr>
            </w:pPr>
            <w:r w:rsidRPr="00A04824">
              <w:rPr>
                <w:sz w:val="24"/>
                <w:szCs w:val="24"/>
              </w:rPr>
              <w:t>часть 1 статьи 22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D2E32" w:rsidRPr="00270DDB" w:rsidTr="005D2E32">
        <w:trPr>
          <w:trHeight w:val="605"/>
        </w:trPr>
        <w:tc>
          <w:tcPr>
            <w:tcW w:w="4895" w:type="dxa"/>
            <w:tcBorders>
              <w:top w:val="single" w:sz="4" w:space="0" w:color="auto"/>
              <w:left w:val="single" w:sz="4" w:space="0" w:color="auto"/>
              <w:bottom w:val="single" w:sz="4" w:space="0" w:color="auto"/>
              <w:right w:val="single" w:sz="4" w:space="0" w:color="auto"/>
            </w:tcBorders>
          </w:tcPr>
          <w:p w:rsidR="005D2E32" w:rsidRPr="00A04824" w:rsidRDefault="005D2E32" w:rsidP="00277D3F">
            <w:pPr>
              <w:adjustRightInd w:val="0"/>
              <w:ind w:firstLine="300"/>
              <w:jc w:val="both"/>
              <w:outlineLvl w:val="0"/>
              <w:rPr>
                <w:sz w:val="24"/>
                <w:szCs w:val="24"/>
              </w:rPr>
            </w:pPr>
            <w:r w:rsidRPr="00A04824">
              <w:rPr>
                <w:sz w:val="24"/>
                <w:szCs w:val="24"/>
              </w:rPr>
              <w:t xml:space="preserve">Наличие разрешения на строительство, выданного в порядке, установленном </w:t>
            </w:r>
            <w:hyperlink r:id="rId10" w:history="1">
              <w:r w:rsidRPr="00A04824">
                <w:rPr>
                  <w:rStyle w:val="af9"/>
                  <w:color w:val="auto"/>
                  <w:sz w:val="24"/>
                  <w:szCs w:val="24"/>
                  <w:u w:val="none"/>
                </w:rPr>
                <w:t>Градостроительным кодексом Российской Федерации</w:t>
              </w:r>
            </w:hyperlink>
            <w:r w:rsidRPr="00A04824">
              <w:rPr>
                <w:sz w:val="24"/>
                <w:szCs w:val="24"/>
              </w:rPr>
              <w:t> и </w:t>
            </w:r>
            <w:hyperlink r:id="rId11" w:history="1">
              <w:r w:rsidRPr="00A04824">
                <w:rPr>
                  <w:rStyle w:val="af9"/>
                  <w:color w:val="auto"/>
                  <w:sz w:val="24"/>
                  <w:szCs w:val="24"/>
                  <w:u w:val="none"/>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04824">
              <w:rPr>
                <w:sz w:val="24"/>
                <w:szCs w:val="24"/>
              </w:rPr>
              <w:t>», в случаях строительства, реконструкции объектов дорожного сервиса</w:t>
            </w:r>
          </w:p>
        </w:tc>
        <w:tc>
          <w:tcPr>
            <w:tcW w:w="4819" w:type="dxa"/>
            <w:tcBorders>
              <w:top w:val="single" w:sz="4" w:space="0" w:color="auto"/>
              <w:left w:val="single" w:sz="4" w:space="0" w:color="auto"/>
              <w:bottom w:val="single" w:sz="4" w:space="0" w:color="auto"/>
              <w:right w:val="single" w:sz="4" w:space="0" w:color="auto"/>
            </w:tcBorders>
          </w:tcPr>
          <w:p w:rsidR="005D2E32" w:rsidRPr="00A04824" w:rsidRDefault="005D2E32" w:rsidP="00277D3F">
            <w:pPr>
              <w:adjustRightInd w:val="0"/>
              <w:ind w:firstLine="300"/>
              <w:jc w:val="both"/>
              <w:outlineLvl w:val="0"/>
              <w:rPr>
                <w:sz w:val="24"/>
                <w:szCs w:val="24"/>
              </w:rPr>
            </w:pPr>
            <w:r w:rsidRPr="00A04824">
              <w:rPr>
                <w:sz w:val="24"/>
                <w:szCs w:val="24"/>
              </w:rPr>
              <w:t>части 4, 5 статьи 22 </w:t>
            </w:r>
            <w:hyperlink r:id="rId12" w:history="1">
              <w:r w:rsidRPr="00A04824">
                <w:rPr>
                  <w:rStyle w:val="af9"/>
                  <w:color w:val="auto"/>
                  <w:sz w:val="24"/>
                  <w:szCs w:val="24"/>
                  <w:u w:val="none"/>
                </w:rPr>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A04824">
              <w:rPr>
                <w:sz w:val="24"/>
                <w:szCs w:val="24"/>
              </w:rPr>
              <w:t xml:space="preserve">» </w:t>
            </w:r>
          </w:p>
        </w:tc>
      </w:tr>
      <w:tr w:rsidR="005D2E32" w:rsidRPr="00270DDB" w:rsidTr="005D2E32">
        <w:trPr>
          <w:trHeight w:val="605"/>
        </w:trPr>
        <w:tc>
          <w:tcPr>
            <w:tcW w:w="4895"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Соблюдение запрета на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4819"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Пункт 1 части 3 статьи 25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D2E32" w:rsidRPr="00270DDB" w:rsidTr="005D2E32">
        <w:trPr>
          <w:trHeight w:val="605"/>
        </w:trPr>
        <w:tc>
          <w:tcPr>
            <w:tcW w:w="4895"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Соблюдение запрета по размещению в границах полосы отвода автомобильной дороги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tc>
        <w:tc>
          <w:tcPr>
            <w:tcW w:w="4819"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Пункт 2 части 3 статьи 25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5D2E32" w:rsidRPr="00270DDB" w:rsidTr="005D2E32">
        <w:trPr>
          <w:trHeight w:val="605"/>
        </w:trPr>
        <w:tc>
          <w:tcPr>
            <w:tcW w:w="4895"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sz w:val="24"/>
                <w:szCs w:val="24"/>
              </w:rPr>
            </w:pPr>
            <w:r w:rsidRPr="00270DDB">
              <w:rPr>
                <w:sz w:val="24"/>
                <w:szCs w:val="24"/>
              </w:rPr>
              <w:t>Соответствие автомобильной дороги (или) дорожного сооружения на ней требованиям к эксплуатационному состоянию автомобильных дорог и обеспечению безопасности дорожного движения</w:t>
            </w:r>
          </w:p>
        </w:tc>
        <w:tc>
          <w:tcPr>
            <w:tcW w:w="4819" w:type="dxa"/>
            <w:tcBorders>
              <w:top w:val="single" w:sz="4" w:space="0" w:color="auto"/>
              <w:left w:val="single" w:sz="4" w:space="0" w:color="auto"/>
              <w:bottom w:val="single" w:sz="4" w:space="0" w:color="auto"/>
              <w:right w:val="single" w:sz="4" w:space="0" w:color="auto"/>
            </w:tcBorders>
          </w:tcPr>
          <w:p w:rsidR="005D2E32" w:rsidRPr="00270DDB" w:rsidRDefault="005D2E32" w:rsidP="00277D3F">
            <w:pPr>
              <w:adjustRightInd w:val="0"/>
              <w:ind w:firstLine="300"/>
              <w:jc w:val="both"/>
              <w:outlineLvl w:val="0"/>
              <w:rPr>
                <w:bCs/>
                <w:sz w:val="24"/>
                <w:szCs w:val="24"/>
              </w:rPr>
            </w:pPr>
            <w:r w:rsidRPr="00270DDB">
              <w:rPr>
                <w:sz w:val="24"/>
                <w:szCs w:val="24"/>
              </w:rPr>
              <w:t xml:space="preserve">статья 12 Федерального закона </w:t>
            </w:r>
            <w:r w:rsidRPr="00270DDB">
              <w:rPr>
                <w:bCs/>
                <w:sz w:val="24"/>
                <w:szCs w:val="24"/>
              </w:rPr>
              <w:t>от 10 декабря 1995 года № 196-ФЗ «О безопасности дорожного движения»;</w:t>
            </w:r>
          </w:p>
          <w:p w:rsidR="005D2E32" w:rsidRPr="00270DDB" w:rsidRDefault="005D2E32" w:rsidP="00277D3F">
            <w:pPr>
              <w:adjustRightInd w:val="0"/>
              <w:ind w:firstLine="300"/>
              <w:jc w:val="both"/>
              <w:outlineLvl w:val="0"/>
              <w:rPr>
                <w:sz w:val="24"/>
                <w:szCs w:val="24"/>
              </w:rPr>
            </w:pPr>
            <w:r w:rsidRPr="00270DDB">
              <w:rPr>
                <w:sz w:val="24"/>
                <w:szCs w:val="24"/>
              </w:rPr>
              <w:t>пункт 13 статьи 3 Технического регламента Таможенного союза «Безопасность автомобильных дорог» (ТР ТС – 014/ 2011)</w:t>
            </w:r>
          </w:p>
        </w:tc>
      </w:tr>
    </w:tbl>
    <w:p w:rsidR="008E4DF2" w:rsidRDefault="008E4DF2" w:rsidP="00EE1FB4">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5D2E32">
      <w:pgSz w:w="11907" w:h="16840" w:code="9"/>
      <w:pgMar w:top="567"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B3" w:rsidRDefault="00B230B3">
      <w:r>
        <w:separator/>
      </w:r>
    </w:p>
  </w:endnote>
  <w:endnote w:type="continuationSeparator" w:id="0">
    <w:p w:rsidR="00B230B3" w:rsidRDefault="00B2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B3" w:rsidRDefault="00B230B3">
      <w:r>
        <w:separator/>
      </w:r>
    </w:p>
  </w:footnote>
  <w:footnote w:type="continuationSeparator" w:id="0">
    <w:p w:rsidR="00B230B3" w:rsidRDefault="00B23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887A6C"/>
    <w:multiLevelType w:val="multilevel"/>
    <w:tmpl w:val="8E12AD0A"/>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4CC9"/>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8F3"/>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2E32"/>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614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5DA"/>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4824"/>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4884"/>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0B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71306"/>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7F36CBF83DBDB7F9D03EC23121F0BABF2D2635697F6DC80BF5BD1D6C684D92892350937788FC99C0AAC042F2C5B2765A2CD6C9EDF5380F548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705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70582" TargetMode="External"/><Relationship Id="rId5" Type="http://schemas.openxmlformats.org/officeDocument/2006/relationships/webSettings" Target="webSettings.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consultantplus://offline/ref=586B992C7E3955EC28619A934694BB0B4F0D5AE4F6DE65A74F360933B08819BEBB76EF6D7EFFC0675F0919DD3702DFDC72CB500627160C07lDk6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194E-698C-4C0E-9E63-6A56C18E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1570</Words>
  <Characters>8954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Абашкина Ольга Владимировна</cp:lastModifiedBy>
  <cp:revision>9</cp:revision>
  <cp:lastPrinted>2019-02-11T12:33:00Z</cp:lastPrinted>
  <dcterms:created xsi:type="dcterms:W3CDTF">2021-11-26T04:38:00Z</dcterms:created>
  <dcterms:modified xsi:type="dcterms:W3CDTF">2021-12-14T11:15:00Z</dcterms:modified>
</cp:coreProperties>
</file>